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40F1A" w14:textId="54BFE0E8" w:rsidR="004941B0" w:rsidRPr="00F46300" w:rsidRDefault="004941B0" w:rsidP="00374EB7">
      <w:pPr>
        <w:rPr>
          <w:b/>
          <w:bCs/>
          <w:color w:val="000000" w:themeColor="text1"/>
          <w:sz w:val="28"/>
          <w:szCs w:val="28"/>
        </w:rPr>
      </w:pPr>
      <w:r w:rsidRPr="00F46300">
        <w:rPr>
          <w:b/>
          <w:bCs/>
          <w:color w:val="000000" w:themeColor="text1"/>
          <w:sz w:val="28"/>
          <w:szCs w:val="28"/>
        </w:rPr>
        <w:t>Texas Phar</w:t>
      </w:r>
      <w:r w:rsidR="00F46300" w:rsidRPr="00F46300">
        <w:rPr>
          <w:b/>
          <w:bCs/>
          <w:color w:val="000000" w:themeColor="text1"/>
          <w:sz w:val="28"/>
          <w:szCs w:val="28"/>
        </w:rPr>
        <w:t>macy Rule §291.12</w:t>
      </w:r>
      <w:r w:rsidR="002B01E0">
        <w:rPr>
          <w:b/>
          <w:bCs/>
          <w:color w:val="000000" w:themeColor="text1"/>
          <w:sz w:val="28"/>
          <w:szCs w:val="28"/>
        </w:rPr>
        <w:t xml:space="preserve">: </w:t>
      </w:r>
      <w:r w:rsidR="00275450">
        <w:rPr>
          <w:b/>
          <w:bCs/>
          <w:color w:val="000000" w:themeColor="text1"/>
          <w:sz w:val="28"/>
          <w:szCs w:val="28"/>
        </w:rPr>
        <w:t>Impact on Delivery of Prescription Medication</w:t>
      </w:r>
    </w:p>
    <w:p w14:paraId="235C780A" w14:textId="6CB95005" w:rsidR="00374EB7" w:rsidRPr="00374EB7" w:rsidRDefault="00374EB7" w:rsidP="00374EB7">
      <w:pPr>
        <w:rPr>
          <w:color w:val="000000" w:themeColor="text1"/>
          <w:sz w:val="28"/>
          <w:szCs w:val="28"/>
        </w:rPr>
      </w:pPr>
      <w:r w:rsidRPr="00374EB7">
        <w:rPr>
          <w:color w:val="000000" w:themeColor="text1"/>
          <w:sz w:val="28"/>
          <w:szCs w:val="28"/>
        </w:rPr>
        <w:t xml:space="preserve">Texas Pharmacy Rule §291.12 outlines the </w:t>
      </w:r>
      <w:r w:rsidR="003A40D2">
        <w:rPr>
          <w:color w:val="000000" w:themeColor="text1"/>
          <w:sz w:val="28"/>
          <w:szCs w:val="28"/>
        </w:rPr>
        <w:t>requirements</w:t>
      </w:r>
      <w:r w:rsidRPr="00374EB7">
        <w:rPr>
          <w:color w:val="000000" w:themeColor="text1"/>
          <w:sz w:val="28"/>
          <w:szCs w:val="28"/>
        </w:rPr>
        <w:t xml:space="preserve"> for delivering prescription drugs from a pharmacy</w:t>
      </w:r>
      <w:r w:rsidR="00FA5B49">
        <w:rPr>
          <w:color w:val="000000" w:themeColor="text1"/>
          <w:sz w:val="28"/>
          <w:szCs w:val="28"/>
        </w:rPr>
        <w:t xml:space="preserve"> to patients in Te</w:t>
      </w:r>
      <w:r w:rsidR="00A776DB">
        <w:rPr>
          <w:color w:val="000000" w:themeColor="text1"/>
          <w:sz w:val="28"/>
          <w:szCs w:val="28"/>
        </w:rPr>
        <w:t>xas</w:t>
      </w:r>
      <w:r w:rsidRPr="00374EB7">
        <w:rPr>
          <w:color w:val="000000" w:themeColor="text1"/>
          <w:sz w:val="28"/>
          <w:szCs w:val="28"/>
        </w:rPr>
        <w:t>. </w:t>
      </w:r>
      <w:r w:rsidR="0008742C">
        <w:rPr>
          <w:color w:val="000000" w:themeColor="text1"/>
          <w:sz w:val="28"/>
          <w:szCs w:val="28"/>
        </w:rPr>
        <w:t xml:space="preserve">It was </w:t>
      </w:r>
      <w:r w:rsidR="00D64BA8">
        <w:rPr>
          <w:color w:val="000000" w:themeColor="text1"/>
          <w:sz w:val="28"/>
          <w:szCs w:val="28"/>
        </w:rPr>
        <w:t xml:space="preserve">adopted to improve the health, safety and welfare of patients. </w:t>
      </w:r>
      <w:r w:rsidRPr="00374EB7">
        <w:rPr>
          <w:color w:val="000000" w:themeColor="text1"/>
          <w:sz w:val="28"/>
          <w:szCs w:val="28"/>
        </w:rPr>
        <w:t>It covers packaging, temperature control, and procedures for handling delivery issues. The rule applies to deliveries via common carrier, pharmacy employees, or same-day couriers. </w:t>
      </w:r>
    </w:p>
    <w:p w14:paraId="190ACF93" w14:textId="1F9B2DB1" w:rsidR="00374EB7" w:rsidRPr="00374EB7" w:rsidRDefault="00374EB7">
      <w:pPr>
        <w:rPr>
          <w:color w:val="000000" w:themeColor="text1"/>
          <w:sz w:val="28"/>
          <w:szCs w:val="28"/>
        </w:rPr>
      </w:pPr>
    </w:p>
    <w:p w14:paraId="451B7520" w14:textId="5DE4E21C" w:rsidR="00374EB7" w:rsidRDefault="00AC2E12">
      <w:pPr>
        <w:rPr>
          <w:b/>
          <w:bCs/>
          <w:color w:val="000000" w:themeColor="text1"/>
          <w:sz w:val="32"/>
          <w:szCs w:val="32"/>
        </w:rPr>
      </w:pPr>
      <w:r w:rsidRPr="00AC2E12">
        <w:rPr>
          <w:b/>
          <w:bCs/>
          <w:color w:val="000000" w:themeColor="text1"/>
          <w:sz w:val="32"/>
          <w:szCs w:val="32"/>
        </w:rPr>
        <w:t>H</w:t>
      </w:r>
      <w:r w:rsidR="00374EB7" w:rsidRPr="00AC2E12">
        <w:rPr>
          <w:b/>
          <w:bCs/>
          <w:color w:val="000000" w:themeColor="text1"/>
          <w:sz w:val="32"/>
          <w:szCs w:val="32"/>
        </w:rPr>
        <w:t>ighlights:</w:t>
      </w:r>
    </w:p>
    <w:p w14:paraId="435261BE" w14:textId="77777777" w:rsidR="00047239" w:rsidRDefault="00047239">
      <w:pPr>
        <w:rPr>
          <w:b/>
          <w:bCs/>
          <w:color w:val="000000" w:themeColor="text1"/>
          <w:sz w:val="32"/>
          <w:szCs w:val="32"/>
        </w:rPr>
      </w:pPr>
    </w:p>
    <w:p w14:paraId="086D2815" w14:textId="77777777" w:rsidR="00047239" w:rsidRPr="00374EB7" w:rsidRDefault="00047239" w:rsidP="00047239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74EB7">
        <w:rPr>
          <w:b/>
          <w:bCs/>
          <w:color w:val="000000" w:themeColor="text1"/>
          <w:sz w:val="28"/>
          <w:szCs w:val="28"/>
        </w:rPr>
        <w:t>Applicability:</w:t>
      </w:r>
    </w:p>
    <w:p w14:paraId="5EA7685F" w14:textId="77777777" w:rsidR="00047239" w:rsidRPr="00374EB7" w:rsidRDefault="00047239" w:rsidP="00047239">
      <w:pPr>
        <w:ind w:left="720"/>
        <w:rPr>
          <w:color w:val="000000" w:themeColor="text1"/>
        </w:rPr>
      </w:pPr>
      <w:r w:rsidRPr="00374EB7">
        <w:rPr>
          <w:color w:val="000000" w:themeColor="text1"/>
          <w:sz w:val="28"/>
          <w:szCs w:val="28"/>
        </w:rPr>
        <w:t>This rule applies to</w:t>
      </w:r>
      <w:r>
        <w:rPr>
          <w:color w:val="000000" w:themeColor="text1"/>
          <w:sz w:val="28"/>
          <w:szCs w:val="28"/>
        </w:rPr>
        <w:t xml:space="preserve"> the delivery of prescription drugs by</w:t>
      </w:r>
      <w:r w:rsidRPr="00374EB7">
        <w:rPr>
          <w:color w:val="000000" w:themeColor="text1"/>
          <w:sz w:val="28"/>
          <w:szCs w:val="28"/>
        </w:rPr>
        <w:t xml:space="preserve"> various pharmacy classes, including Class A, Class A-S, Class E, and Class E-S pharmacies. </w:t>
      </w:r>
    </w:p>
    <w:p w14:paraId="6986AFC2" w14:textId="77777777" w:rsidR="00374EB7" w:rsidRPr="00374EB7" w:rsidRDefault="00374EB7" w:rsidP="00402551">
      <w:pPr>
        <w:rPr>
          <w:color w:val="000000" w:themeColor="text1"/>
          <w:sz w:val="28"/>
          <w:szCs w:val="28"/>
        </w:rPr>
      </w:pPr>
    </w:p>
    <w:p w14:paraId="1A39CE7D" w14:textId="634134A4" w:rsidR="00374EB7" w:rsidRPr="00374EB7" w:rsidRDefault="00374EB7" w:rsidP="00374EB7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74EB7">
        <w:rPr>
          <w:b/>
          <w:bCs/>
          <w:color w:val="000000" w:themeColor="text1"/>
          <w:sz w:val="28"/>
          <w:szCs w:val="28"/>
        </w:rPr>
        <w:t>Packaging</w:t>
      </w:r>
      <w:r w:rsidR="00AF544D">
        <w:rPr>
          <w:b/>
          <w:bCs/>
          <w:color w:val="000000" w:themeColor="text1"/>
          <w:sz w:val="28"/>
          <w:szCs w:val="28"/>
        </w:rPr>
        <w:t xml:space="preserve"> and Standards</w:t>
      </w:r>
      <w:r w:rsidRPr="00374EB7">
        <w:rPr>
          <w:b/>
          <w:bCs/>
          <w:color w:val="000000" w:themeColor="text1"/>
          <w:sz w:val="28"/>
          <w:szCs w:val="28"/>
        </w:rPr>
        <w:t>:</w:t>
      </w:r>
    </w:p>
    <w:p w14:paraId="45974725" w14:textId="312143E8" w:rsidR="00374EB7" w:rsidRPr="00374EB7" w:rsidRDefault="00374EB7" w:rsidP="00374EB7">
      <w:pPr>
        <w:ind w:left="720"/>
        <w:rPr>
          <w:color w:val="000000" w:themeColor="text1"/>
          <w:sz w:val="28"/>
          <w:szCs w:val="28"/>
        </w:rPr>
      </w:pPr>
      <w:r w:rsidRPr="00374EB7">
        <w:rPr>
          <w:color w:val="000000" w:themeColor="text1"/>
          <w:sz w:val="28"/>
          <w:szCs w:val="28"/>
        </w:rPr>
        <w:t xml:space="preserve">Pharmacies must ensure prescription drugs are delivered in </w:t>
      </w:r>
      <w:r w:rsidR="008F3F2D">
        <w:rPr>
          <w:color w:val="000000" w:themeColor="text1"/>
          <w:sz w:val="28"/>
          <w:szCs w:val="28"/>
        </w:rPr>
        <w:t xml:space="preserve">commercially available </w:t>
      </w:r>
      <w:r w:rsidRPr="00374EB7">
        <w:rPr>
          <w:color w:val="000000" w:themeColor="text1"/>
          <w:sz w:val="28"/>
          <w:szCs w:val="28"/>
        </w:rPr>
        <w:t xml:space="preserve">tamper-evident packaging, </w:t>
      </w:r>
      <w:r w:rsidR="00F46300">
        <w:rPr>
          <w:color w:val="000000" w:themeColor="text1"/>
          <w:sz w:val="28"/>
          <w:szCs w:val="28"/>
        </w:rPr>
        <w:t>maintaining the temperature range allowed by the manufacturer and</w:t>
      </w:r>
      <w:r w:rsidRPr="00374EB7">
        <w:rPr>
          <w:color w:val="000000" w:themeColor="text1"/>
          <w:sz w:val="28"/>
          <w:szCs w:val="28"/>
        </w:rPr>
        <w:t xml:space="preserve"> the United States Pharmacopeia (USP). </w:t>
      </w:r>
      <w:r w:rsidRPr="00374EB7">
        <w:rPr>
          <w:color w:val="000000" w:themeColor="text1"/>
          <w:sz w:val="28"/>
          <w:szCs w:val="28"/>
        </w:rPr>
        <w:br/>
      </w:r>
    </w:p>
    <w:p w14:paraId="0E4833C3" w14:textId="08732D23" w:rsidR="00374EB7" w:rsidRPr="00374EB7" w:rsidRDefault="00374EB7" w:rsidP="00374EB7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74EB7">
        <w:rPr>
          <w:b/>
          <w:bCs/>
          <w:color w:val="000000" w:themeColor="text1"/>
          <w:sz w:val="28"/>
          <w:szCs w:val="28"/>
        </w:rPr>
        <w:t>Temperature Control:</w:t>
      </w:r>
    </w:p>
    <w:p w14:paraId="02F666BB" w14:textId="7B4790F5" w:rsidR="00374EB7" w:rsidRPr="00374EB7" w:rsidRDefault="00374EB7" w:rsidP="00374EB7">
      <w:pPr>
        <w:ind w:left="720"/>
        <w:rPr>
          <w:color w:val="000000" w:themeColor="text1"/>
          <w:sz w:val="28"/>
          <w:szCs w:val="28"/>
        </w:rPr>
      </w:pPr>
      <w:r w:rsidRPr="00374EB7">
        <w:rPr>
          <w:color w:val="000000" w:themeColor="text1"/>
          <w:sz w:val="28"/>
          <w:szCs w:val="28"/>
        </w:rPr>
        <w:t xml:space="preserve">For deliveries by common carrier, the pharmacy must package drugs to maintain the appropriate temperature range, using </w:t>
      </w:r>
      <w:r>
        <w:rPr>
          <w:color w:val="000000" w:themeColor="text1"/>
          <w:sz w:val="28"/>
          <w:szCs w:val="28"/>
        </w:rPr>
        <w:t xml:space="preserve">a combination of </w:t>
      </w:r>
      <w:r w:rsidRPr="00374EB7">
        <w:rPr>
          <w:color w:val="000000" w:themeColor="text1"/>
          <w:sz w:val="28"/>
          <w:szCs w:val="28"/>
        </w:rPr>
        <w:t>temperature monitoring devices</w:t>
      </w:r>
      <w:r>
        <w:rPr>
          <w:color w:val="000000" w:themeColor="text1"/>
          <w:sz w:val="28"/>
          <w:szCs w:val="28"/>
        </w:rPr>
        <w:t xml:space="preserve">, insulated packaging and gel packs. </w:t>
      </w:r>
    </w:p>
    <w:p w14:paraId="113277CC" w14:textId="77777777" w:rsidR="00374EB7" w:rsidRPr="00374EB7" w:rsidRDefault="00374EB7" w:rsidP="00374EB7">
      <w:pPr>
        <w:ind w:left="720"/>
        <w:rPr>
          <w:color w:val="000000" w:themeColor="text1"/>
          <w:sz w:val="28"/>
          <w:szCs w:val="28"/>
        </w:rPr>
      </w:pPr>
    </w:p>
    <w:p w14:paraId="13E6E8D2" w14:textId="5D17C09D" w:rsidR="00374EB7" w:rsidRPr="00374EB7" w:rsidRDefault="00374EB7" w:rsidP="00374EB7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74EB7">
        <w:rPr>
          <w:b/>
          <w:bCs/>
          <w:color w:val="000000" w:themeColor="text1"/>
          <w:sz w:val="28"/>
          <w:szCs w:val="28"/>
        </w:rPr>
        <w:t>Irregularit</w:t>
      </w:r>
      <w:r w:rsidR="00AD721F">
        <w:rPr>
          <w:b/>
          <w:bCs/>
          <w:color w:val="000000" w:themeColor="text1"/>
          <w:sz w:val="28"/>
          <w:szCs w:val="28"/>
        </w:rPr>
        <w:t>y in Delivery</w:t>
      </w:r>
      <w:r w:rsidRPr="00374EB7">
        <w:rPr>
          <w:b/>
          <w:bCs/>
          <w:color w:val="000000" w:themeColor="text1"/>
          <w:sz w:val="28"/>
          <w:szCs w:val="28"/>
        </w:rPr>
        <w:t>:</w:t>
      </w:r>
    </w:p>
    <w:p w14:paraId="32AE3BE1" w14:textId="77777777" w:rsidR="0089762C" w:rsidRDefault="00374EB7" w:rsidP="00374EB7">
      <w:pPr>
        <w:ind w:left="720"/>
        <w:rPr>
          <w:color w:val="000000" w:themeColor="text1"/>
          <w:sz w:val="28"/>
          <w:szCs w:val="28"/>
        </w:rPr>
      </w:pPr>
      <w:r w:rsidRPr="00374EB7">
        <w:rPr>
          <w:color w:val="000000" w:themeColor="text1"/>
          <w:sz w:val="28"/>
          <w:szCs w:val="28"/>
        </w:rPr>
        <w:t xml:space="preserve">The rule mandates </w:t>
      </w:r>
      <w:r w:rsidR="0089762C">
        <w:rPr>
          <w:color w:val="000000" w:themeColor="text1"/>
          <w:sz w:val="28"/>
          <w:szCs w:val="28"/>
        </w:rPr>
        <w:t xml:space="preserve">that the pharmacy provides </w:t>
      </w:r>
      <w:r w:rsidRPr="00374EB7">
        <w:rPr>
          <w:color w:val="000000" w:themeColor="text1"/>
          <w:sz w:val="28"/>
          <w:szCs w:val="28"/>
        </w:rPr>
        <w:t>a method for patients or their agents to report any</w:t>
      </w:r>
      <w:r w:rsidR="000A1FAE">
        <w:rPr>
          <w:color w:val="000000" w:themeColor="text1"/>
          <w:sz w:val="28"/>
          <w:szCs w:val="28"/>
        </w:rPr>
        <w:t xml:space="preserve"> irregularity in </w:t>
      </w:r>
      <w:r w:rsidRPr="00374EB7">
        <w:rPr>
          <w:color w:val="000000" w:themeColor="text1"/>
          <w:sz w:val="28"/>
          <w:szCs w:val="28"/>
        </w:rPr>
        <w:t>delivery</w:t>
      </w:r>
      <w:r w:rsidR="0089762C">
        <w:rPr>
          <w:color w:val="000000" w:themeColor="text1"/>
          <w:sz w:val="28"/>
          <w:szCs w:val="28"/>
        </w:rPr>
        <w:t xml:space="preserve"> of their medication</w:t>
      </w:r>
      <w:r w:rsidR="000A1FAE">
        <w:rPr>
          <w:color w:val="000000" w:themeColor="text1"/>
          <w:sz w:val="28"/>
          <w:szCs w:val="28"/>
        </w:rPr>
        <w:t>.</w:t>
      </w:r>
    </w:p>
    <w:p w14:paraId="37041CF4" w14:textId="3A1534BA" w:rsidR="00A6144E" w:rsidRPr="002F0CE6" w:rsidRDefault="00A6144E" w:rsidP="002F0CE6">
      <w:pPr>
        <w:pStyle w:val="ListParagraph"/>
        <w:numPr>
          <w:ilvl w:val="2"/>
          <w:numId w:val="6"/>
        </w:numPr>
        <w:rPr>
          <w:color w:val="000000" w:themeColor="text1"/>
          <w:sz w:val="28"/>
          <w:szCs w:val="28"/>
        </w:rPr>
      </w:pPr>
      <w:r w:rsidRPr="002F0CE6">
        <w:rPr>
          <w:color w:val="000000" w:themeColor="text1"/>
          <w:sz w:val="28"/>
          <w:szCs w:val="28"/>
        </w:rPr>
        <w:t>Timeliness of delivery</w:t>
      </w:r>
    </w:p>
    <w:p w14:paraId="395D6E9E" w14:textId="12305B1A" w:rsidR="00A6144E" w:rsidRPr="002F0CE6" w:rsidRDefault="00A6144E" w:rsidP="002F0CE6">
      <w:pPr>
        <w:pStyle w:val="ListParagraph"/>
        <w:numPr>
          <w:ilvl w:val="2"/>
          <w:numId w:val="6"/>
        </w:numPr>
        <w:rPr>
          <w:color w:val="000000" w:themeColor="text1"/>
          <w:sz w:val="28"/>
          <w:szCs w:val="28"/>
        </w:rPr>
      </w:pPr>
      <w:r w:rsidRPr="002F0CE6">
        <w:rPr>
          <w:color w:val="000000" w:themeColor="text1"/>
          <w:sz w:val="28"/>
          <w:szCs w:val="28"/>
        </w:rPr>
        <w:t>Condition of the medication upon delivery</w:t>
      </w:r>
    </w:p>
    <w:p w14:paraId="410C0148" w14:textId="41F05413" w:rsidR="003941FA" w:rsidRPr="002F0CE6" w:rsidRDefault="003941FA" w:rsidP="002F0CE6">
      <w:pPr>
        <w:pStyle w:val="ListParagraph"/>
        <w:numPr>
          <w:ilvl w:val="2"/>
          <w:numId w:val="6"/>
        </w:numPr>
        <w:rPr>
          <w:color w:val="000000" w:themeColor="text1"/>
          <w:sz w:val="28"/>
          <w:szCs w:val="28"/>
        </w:rPr>
      </w:pPr>
      <w:r w:rsidRPr="002F0CE6">
        <w:rPr>
          <w:color w:val="000000" w:themeColor="text1"/>
          <w:sz w:val="28"/>
          <w:szCs w:val="28"/>
        </w:rPr>
        <w:t>Failure to receive the correct prescription medication</w:t>
      </w:r>
    </w:p>
    <w:p w14:paraId="1C7E7CC2" w14:textId="26596806" w:rsidR="00374EB7" w:rsidRPr="002F0CE6" w:rsidRDefault="00423F60" w:rsidP="002F0CE6">
      <w:pPr>
        <w:pStyle w:val="ListParagraph"/>
        <w:numPr>
          <w:ilvl w:val="2"/>
          <w:numId w:val="6"/>
        </w:numPr>
        <w:rPr>
          <w:color w:val="000000" w:themeColor="text1"/>
          <w:sz w:val="28"/>
          <w:szCs w:val="28"/>
        </w:rPr>
      </w:pPr>
      <w:r w:rsidRPr="002F0CE6">
        <w:rPr>
          <w:color w:val="000000" w:themeColor="text1"/>
          <w:sz w:val="28"/>
          <w:szCs w:val="28"/>
        </w:rPr>
        <w:t>The pharmacy can refuse to deliver by a common carrier</w:t>
      </w:r>
      <w:r w:rsidR="005A7B57" w:rsidRPr="002F0CE6">
        <w:rPr>
          <w:color w:val="000000" w:themeColor="text1"/>
          <w:sz w:val="28"/>
          <w:szCs w:val="28"/>
        </w:rPr>
        <w:t xml:space="preserve"> if the dispensing pharmacist thinks the medication may be clinically compromised.</w:t>
      </w:r>
      <w:r w:rsidR="00374EB7" w:rsidRPr="002F0CE6">
        <w:rPr>
          <w:color w:val="000000" w:themeColor="text1"/>
          <w:sz w:val="28"/>
          <w:szCs w:val="28"/>
        </w:rPr>
        <w:t> </w:t>
      </w:r>
    </w:p>
    <w:p w14:paraId="55024B4B" w14:textId="77777777" w:rsidR="00374EB7" w:rsidRDefault="00374EB7" w:rsidP="00374EB7">
      <w:pPr>
        <w:ind w:left="720"/>
        <w:rPr>
          <w:color w:val="000000" w:themeColor="text1"/>
          <w:sz w:val="28"/>
          <w:szCs w:val="28"/>
        </w:rPr>
      </w:pPr>
    </w:p>
    <w:p w14:paraId="04D9A865" w14:textId="77777777" w:rsidR="008D6320" w:rsidRDefault="008D6320" w:rsidP="00374EB7">
      <w:pPr>
        <w:ind w:left="720"/>
        <w:rPr>
          <w:color w:val="000000" w:themeColor="text1"/>
          <w:sz w:val="28"/>
          <w:szCs w:val="28"/>
        </w:rPr>
      </w:pPr>
    </w:p>
    <w:p w14:paraId="6D34710D" w14:textId="77777777" w:rsidR="008D6320" w:rsidRPr="00374EB7" w:rsidRDefault="008D6320" w:rsidP="00374EB7">
      <w:pPr>
        <w:ind w:left="720"/>
        <w:rPr>
          <w:color w:val="000000" w:themeColor="text1"/>
          <w:sz w:val="28"/>
          <w:szCs w:val="28"/>
        </w:rPr>
      </w:pPr>
    </w:p>
    <w:p w14:paraId="3B84E85B" w14:textId="77777777" w:rsidR="00374EB7" w:rsidRPr="00374EB7" w:rsidRDefault="00374EB7" w:rsidP="00374EB7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74EB7">
        <w:rPr>
          <w:b/>
          <w:bCs/>
          <w:color w:val="000000" w:themeColor="text1"/>
          <w:sz w:val="28"/>
          <w:szCs w:val="28"/>
        </w:rPr>
        <w:lastRenderedPageBreak/>
        <w:t>Compromised Deliveries:</w:t>
      </w:r>
    </w:p>
    <w:p w14:paraId="74D2C8A4" w14:textId="6C970A4B" w:rsidR="00374EB7" w:rsidRDefault="00374EB7" w:rsidP="00374EB7">
      <w:pPr>
        <w:ind w:left="720"/>
        <w:rPr>
          <w:color w:val="000000" w:themeColor="text1"/>
          <w:sz w:val="28"/>
          <w:szCs w:val="28"/>
        </w:rPr>
      </w:pPr>
      <w:r w:rsidRPr="00374EB7">
        <w:rPr>
          <w:color w:val="000000" w:themeColor="text1"/>
          <w:sz w:val="28"/>
          <w:szCs w:val="28"/>
        </w:rPr>
        <w:t xml:space="preserve">Pharmacies are obligated to refuse delivery by common </w:t>
      </w:r>
      <w:r w:rsidR="009C7022" w:rsidRPr="00374EB7">
        <w:rPr>
          <w:color w:val="000000" w:themeColor="text1"/>
          <w:sz w:val="28"/>
          <w:szCs w:val="28"/>
        </w:rPr>
        <w:t>carriers</w:t>
      </w:r>
      <w:r w:rsidRPr="00374EB7">
        <w:rPr>
          <w:color w:val="000000" w:themeColor="text1"/>
          <w:sz w:val="28"/>
          <w:szCs w:val="28"/>
        </w:rPr>
        <w:t xml:space="preserve"> if the dispensing pharmacist believes the drug's integrity could be compromised during transit. </w:t>
      </w:r>
    </w:p>
    <w:p w14:paraId="507077D9" w14:textId="4EE2D2E0" w:rsidR="00402551" w:rsidRDefault="00402551" w:rsidP="00402551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If </w:t>
      </w:r>
      <w:r w:rsidR="00E020D3">
        <w:rPr>
          <w:color w:val="000000" w:themeColor="text1"/>
          <w:sz w:val="28"/>
          <w:szCs w:val="28"/>
        </w:rPr>
        <w:t>a p</w:t>
      </w:r>
      <w:r>
        <w:rPr>
          <w:color w:val="000000" w:themeColor="text1"/>
          <w:sz w:val="28"/>
          <w:szCs w:val="28"/>
        </w:rPr>
        <w:t xml:space="preserve">harmacist determines </w:t>
      </w:r>
      <w:r w:rsidR="009C7022">
        <w:rPr>
          <w:color w:val="000000" w:themeColor="text1"/>
          <w:sz w:val="28"/>
          <w:szCs w:val="28"/>
        </w:rPr>
        <w:t>the medication</w:t>
      </w:r>
      <w:r>
        <w:rPr>
          <w:color w:val="000000" w:themeColor="text1"/>
          <w:sz w:val="28"/>
          <w:szCs w:val="28"/>
        </w:rPr>
        <w:t xml:space="preserve"> was compromised during delivery, they are required to replace the </w:t>
      </w:r>
      <w:r w:rsidR="009C7022">
        <w:rPr>
          <w:color w:val="000000" w:themeColor="text1"/>
          <w:sz w:val="28"/>
          <w:szCs w:val="28"/>
        </w:rPr>
        <w:t>medication</w:t>
      </w:r>
      <w:r>
        <w:rPr>
          <w:color w:val="000000" w:themeColor="text1"/>
          <w:sz w:val="28"/>
          <w:szCs w:val="28"/>
        </w:rPr>
        <w:t>.</w:t>
      </w:r>
    </w:p>
    <w:p w14:paraId="6373FC1C" w14:textId="77777777" w:rsidR="001452A3" w:rsidRPr="001452A3" w:rsidRDefault="001452A3" w:rsidP="001452A3">
      <w:pPr>
        <w:rPr>
          <w:color w:val="000000" w:themeColor="text1"/>
          <w:sz w:val="28"/>
          <w:szCs w:val="28"/>
        </w:rPr>
      </w:pPr>
    </w:p>
    <w:p w14:paraId="30751446" w14:textId="77777777" w:rsidR="00843063" w:rsidRPr="00843063" w:rsidRDefault="00843063" w:rsidP="00843063">
      <w:pPr>
        <w:pStyle w:val="ListParagraph"/>
        <w:rPr>
          <w:color w:val="000000" w:themeColor="text1"/>
          <w:sz w:val="28"/>
          <w:szCs w:val="28"/>
        </w:rPr>
      </w:pPr>
    </w:p>
    <w:p w14:paraId="261D59B1" w14:textId="5DE5A4A3" w:rsidR="00843063" w:rsidRPr="00FB42E7" w:rsidRDefault="00332DFB" w:rsidP="00374EB7">
      <w:pPr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Delivery and </w:t>
      </w:r>
      <w:r w:rsidR="00843063" w:rsidRPr="00FB42E7">
        <w:rPr>
          <w:b/>
          <w:bCs/>
          <w:color w:val="000000" w:themeColor="text1"/>
          <w:sz w:val="28"/>
          <w:szCs w:val="28"/>
        </w:rPr>
        <w:t>Records</w:t>
      </w:r>
      <w:r w:rsidR="00596562" w:rsidRPr="00FB42E7">
        <w:rPr>
          <w:b/>
          <w:bCs/>
          <w:color w:val="000000" w:themeColor="text1"/>
          <w:sz w:val="28"/>
          <w:szCs w:val="28"/>
        </w:rPr>
        <w:t>:</w:t>
      </w:r>
    </w:p>
    <w:p w14:paraId="56EDBFBF" w14:textId="0E29C643" w:rsidR="00FB42E7" w:rsidRPr="008D51B0" w:rsidRDefault="009763CD" w:rsidP="00FB1DF6">
      <w:p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p</w:t>
      </w:r>
      <w:r w:rsidR="00FB42E7" w:rsidRPr="008D51B0">
        <w:rPr>
          <w:color w:val="000000" w:themeColor="text1"/>
          <w:sz w:val="28"/>
          <w:szCs w:val="28"/>
        </w:rPr>
        <w:t xml:space="preserve">harmacy needs to notify </w:t>
      </w:r>
      <w:r w:rsidR="00FB1DF6">
        <w:rPr>
          <w:color w:val="000000" w:themeColor="text1"/>
          <w:sz w:val="28"/>
          <w:szCs w:val="28"/>
        </w:rPr>
        <w:t xml:space="preserve">the </w:t>
      </w:r>
      <w:r w:rsidR="00FB42E7" w:rsidRPr="008D51B0">
        <w:rPr>
          <w:color w:val="000000" w:themeColor="text1"/>
          <w:sz w:val="28"/>
          <w:szCs w:val="28"/>
        </w:rPr>
        <w:t>patient</w:t>
      </w:r>
      <w:r w:rsidR="00FB1DF6">
        <w:rPr>
          <w:color w:val="000000" w:themeColor="text1"/>
          <w:sz w:val="28"/>
          <w:szCs w:val="28"/>
        </w:rPr>
        <w:t xml:space="preserve"> or the patient’s agent</w:t>
      </w:r>
      <w:r w:rsidR="00FB42E7" w:rsidRPr="008D51B0">
        <w:rPr>
          <w:color w:val="000000" w:themeColor="text1"/>
          <w:sz w:val="28"/>
          <w:szCs w:val="28"/>
        </w:rPr>
        <w:t xml:space="preserve"> of the delivery</w:t>
      </w:r>
      <w:r w:rsidR="00133CFE">
        <w:rPr>
          <w:color w:val="000000" w:themeColor="text1"/>
          <w:sz w:val="28"/>
          <w:szCs w:val="28"/>
        </w:rPr>
        <w:t xml:space="preserve"> and comply with the requirements of </w:t>
      </w:r>
      <w:r w:rsidR="002E14DA" w:rsidRPr="00374EB7">
        <w:rPr>
          <w:color w:val="000000" w:themeColor="text1"/>
          <w:sz w:val="28"/>
          <w:szCs w:val="28"/>
        </w:rPr>
        <w:t>§</w:t>
      </w:r>
      <w:r w:rsidR="0058375A">
        <w:rPr>
          <w:color w:val="000000" w:themeColor="text1"/>
          <w:sz w:val="28"/>
          <w:szCs w:val="28"/>
        </w:rPr>
        <w:t>291.33(c)(1)(F) for counseling inf</w:t>
      </w:r>
      <w:r w:rsidR="002E14DA">
        <w:rPr>
          <w:color w:val="000000" w:themeColor="text1"/>
          <w:sz w:val="28"/>
          <w:szCs w:val="28"/>
        </w:rPr>
        <w:t>ormation.</w:t>
      </w:r>
    </w:p>
    <w:p w14:paraId="682C55DA" w14:textId="77777777" w:rsidR="00FB42E7" w:rsidRDefault="00FB42E7" w:rsidP="00606BDB">
      <w:pPr>
        <w:pStyle w:val="ListParagraph"/>
        <w:numPr>
          <w:ilvl w:val="2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Date meds were sent and delivered</w:t>
      </w:r>
    </w:p>
    <w:p w14:paraId="07E68881" w14:textId="5483B87A" w:rsidR="00FB42E7" w:rsidRDefault="00FB42E7" w:rsidP="00606BDB">
      <w:pPr>
        <w:pStyle w:val="ListParagraph"/>
        <w:numPr>
          <w:ilvl w:val="2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Patient complaints</w:t>
      </w:r>
      <w:r w:rsidR="008E3A29">
        <w:rPr>
          <w:color w:val="000000" w:themeColor="text1"/>
          <w:sz w:val="28"/>
          <w:szCs w:val="28"/>
        </w:rPr>
        <w:t xml:space="preserve"> regarding compromised deliveries</w:t>
      </w:r>
    </w:p>
    <w:p w14:paraId="320F7D74" w14:textId="16A00072" w:rsidR="00FB42E7" w:rsidRDefault="00FB42E7" w:rsidP="00606BDB">
      <w:pPr>
        <w:pStyle w:val="ListParagraph"/>
        <w:numPr>
          <w:ilvl w:val="2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Follow </w:t>
      </w:r>
      <w:r w:rsidR="009C1C4F">
        <w:rPr>
          <w:color w:val="000000" w:themeColor="text1"/>
          <w:sz w:val="28"/>
          <w:szCs w:val="28"/>
        </w:rPr>
        <w:t>stat</w:t>
      </w:r>
      <w:r w:rsidR="00A525DF">
        <w:rPr>
          <w:color w:val="000000" w:themeColor="text1"/>
          <w:sz w:val="28"/>
          <w:szCs w:val="28"/>
        </w:rPr>
        <w:t>e</w:t>
      </w:r>
      <w:r w:rsidR="009C1C4F">
        <w:rPr>
          <w:color w:val="000000" w:themeColor="text1"/>
          <w:sz w:val="28"/>
          <w:szCs w:val="28"/>
        </w:rPr>
        <w:t xml:space="preserve"> and federal laws</w:t>
      </w:r>
      <w:r>
        <w:rPr>
          <w:color w:val="000000" w:themeColor="text1"/>
          <w:sz w:val="28"/>
          <w:szCs w:val="28"/>
        </w:rPr>
        <w:t xml:space="preserve"> for controlled substances</w:t>
      </w:r>
    </w:p>
    <w:p w14:paraId="35659DB8" w14:textId="77777777" w:rsidR="009C1C4F" w:rsidRDefault="009C1C4F" w:rsidP="009C1C4F">
      <w:pPr>
        <w:pStyle w:val="ListParagraph"/>
        <w:numPr>
          <w:ilvl w:val="2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Maintain records for 2 years</w:t>
      </w:r>
    </w:p>
    <w:p w14:paraId="269B785F" w14:textId="77777777" w:rsidR="009C1C4F" w:rsidRPr="009C1C4F" w:rsidRDefault="009C1C4F" w:rsidP="009C1C4F">
      <w:pPr>
        <w:ind w:left="1800"/>
        <w:rPr>
          <w:color w:val="000000" w:themeColor="text1"/>
          <w:sz w:val="28"/>
          <w:szCs w:val="28"/>
        </w:rPr>
      </w:pPr>
    </w:p>
    <w:p w14:paraId="4982C156" w14:textId="77777777" w:rsidR="00596562" w:rsidRPr="00843063" w:rsidRDefault="00596562" w:rsidP="00FB42E7">
      <w:pPr>
        <w:ind w:left="1080"/>
        <w:rPr>
          <w:color w:val="000000" w:themeColor="text1"/>
          <w:sz w:val="28"/>
          <w:szCs w:val="28"/>
        </w:rPr>
      </w:pPr>
    </w:p>
    <w:sectPr w:rsidR="00596562" w:rsidRPr="00843063" w:rsidSect="008F51B3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7A45"/>
    <w:multiLevelType w:val="hybridMultilevel"/>
    <w:tmpl w:val="09E6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52D2"/>
    <w:multiLevelType w:val="multilevel"/>
    <w:tmpl w:val="ED1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E35A4"/>
    <w:multiLevelType w:val="hybridMultilevel"/>
    <w:tmpl w:val="1638B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FC56B2"/>
    <w:multiLevelType w:val="hybridMultilevel"/>
    <w:tmpl w:val="512A3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EE30F3"/>
    <w:multiLevelType w:val="hybridMultilevel"/>
    <w:tmpl w:val="29F0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E4045"/>
    <w:multiLevelType w:val="hybridMultilevel"/>
    <w:tmpl w:val="6A42C7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928F4"/>
    <w:multiLevelType w:val="multilevel"/>
    <w:tmpl w:val="E7A4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963332">
    <w:abstractNumId w:val="1"/>
  </w:num>
  <w:num w:numId="2" w16cid:durableId="1914241461">
    <w:abstractNumId w:val="2"/>
  </w:num>
  <w:num w:numId="3" w16cid:durableId="541551794">
    <w:abstractNumId w:val="4"/>
  </w:num>
  <w:num w:numId="4" w16cid:durableId="1539463695">
    <w:abstractNumId w:val="3"/>
  </w:num>
  <w:num w:numId="5" w16cid:durableId="710811582">
    <w:abstractNumId w:val="0"/>
  </w:num>
  <w:num w:numId="6" w16cid:durableId="1506555735">
    <w:abstractNumId w:val="5"/>
  </w:num>
  <w:num w:numId="7" w16cid:durableId="1328704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B7"/>
    <w:rsid w:val="00047239"/>
    <w:rsid w:val="0008742C"/>
    <w:rsid w:val="000A1FAE"/>
    <w:rsid w:val="000D428B"/>
    <w:rsid w:val="00133CFE"/>
    <w:rsid w:val="001452A3"/>
    <w:rsid w:val="00275450"/>
    <w:rsid w:val="002852C7"/>
    <w:rsid w:val="002B01E0"/>
    <w:rsid w:val="002E14DA"/>
    <w:rsid w:val="002F0CE6"/>
    <w:rsid w:val="002F1442"/>
    <w:rsid w:val="00332DFB"/>
    <w:rsid w:val="00374EB7"/>
    <w:rsid w:val="003941FA"/>
    <w:rsid w:val="003A40D2"/>
    <w:rsid w:val="003F5618"/>
    <w:rsid w:val="00402551"/>
    <w:rsid w:val="00423F60"/>
    <w:rsid w:val="004601D6"/>
    <w:rsid w:val="004941B0"/>
    <w:rsid w:val="00576B06"/>
    <w:rsid w:val="0058375A"/>
    <w:rsid w:val="00596562"/>
    <w:rsid w:val="005A7B57"/>
    <w:rsid w:val="006010D1"/>
    <w:rsid w:val="00606BDB"/>
    <w:rsid w:val="00673470"/>
    <w:rsid w:val="008037BF"/>
    <w:rsid w:val="00843063"/>
    <w:rsid w:val="0089762C"/>
    <w:rsid w:val="008A4A2F"/>
    <w:rsid w:val="008D3C63"/>
    <w:rsid w:val="008D51B0"/>
    <w:rsid w:val="008D6320"/>
    <w:rsid w:val="008E3A29"/>
    <w:rsid w:val="008F3F2D"/>
    <w:rsid w:val="008F51B3"/>
    <w:rsid w:val="009763CD"/>
    <w:rsid w:val="009A6EF0"/>
    <w:rsid w:val="009C1C4F"/>
    <w:rsid w:val="009C7022"/>
    <w:rsid w:val="00A525DF"/>
    <w:rsid w:val="00A61355"/>
    <w:rsid w:val="00A6144E"/>
    <w:rsid w:val="00A776DB"/>
    <w:rsid w:val="00AC2E12"/>
    <w:rsid w:val="00AD721F"/>
    <w:rsid w:val="00AF544D"/>
    <w:rsid w:val="00B741E3"/>
    <w:rsid w:val="00B823F4"/>
    <w:rsid w:val="00BF3ECA"/>
    <w:rsid w:val="00C4309E"/>
    <w:rsid w:val="00D64BA8"/>
    <w:rsid w:val="00DD5187"/>
    <w:rsid w:val="00E020D3"/>
    <w:rsid w:val="00EC4DC7"/>
    <w:rsid w:val="00F36DF0"/>
    <w:rsid w:val="00F46300"/>
    <w:rsid w:val="00F7569C"/>
    <w:rsid w:val="00FA5B49"/>
    <w:rsid w:val="00FB1DF6"/>
    <w:rsid w:val="00FB42E7"/>
    <w:rsid w:val="00F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5FC8"/>
  <w15:chartTrackingRefBased/>
  <w15:docId w15:val="{800C86DB-E51F-3241-83BA-26E49B25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E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E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E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E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E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E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E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E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E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E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E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E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E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E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E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E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E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EB7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DefaultParagraphFont"/>
    <w:rsid w:val="00374EB7"/>
  </w:style>
  <w:style w:type="paragraph" w:customStyle="1" w:styleId="k3ksmc">
    <w:name w:val="k3ksmc"/>
    <w:basedOn w:val="Normal"/>
    <w:rsid w:val="00374E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74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7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2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89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13753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6235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3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1886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1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72545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9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Baldino</dc:creator>
  <cp:keywords/>
  <dc:description/>
  <cp:lastModifiedBy>Tammy Dean</cp:lastModifiedBy>
  <cp:revision>2</cp:revision>
  <cp:lastPrinted>2025-07-30T12:32:00Z</cp:lastPrinted>
  <dcterms:created xsi:type="dcterms:W3CDTF">2025-07-30T12:35:00Z</dcterms:created>
  <dcterms:modified xsi:type="dcterms:W3CDTF">2025-07-30T12:35:00Z</dcterms:modified>
</cp:coreProperties>
</file>